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BC" w:rsidRDefault="00AB5228"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B82F9C">
          <w:footerReference w:type="default" r:id="rId7"/>
          <w:footerReference w:type="first" r:id="rId8"/>
          <w:type w:val="continuous"/>
          <w:pgSz w:w="12240" w:h="15840" w:code="1"/>
          <w:pgMar w:top="4896" w:right="1440" w:bottom="720" w:left="1440" w:header="4608" w:footer="432" w:gutter="0"/>
          <w:pgNumType w:start="0"/>
          <w:cols w:space="720"/>
          <w:noEndnote/>
          <w:titlePg/>
          <w:docGrid w:linePitch="326"/>
        </w:sectPr>
      </w:pPr>
      <w:r>
        <w:rPr>
          <w:noProof/>
        </w:rPr>
        <w:pict>
          <v:rect id="_x0000_s1026" style="position:absolute;margin-left:-33.85pt;margin-top:-176.1pt;width:139.05pt;height:169.95pt;z-index:-251659776;mso-position-horizontal-relative:margin;mso-position-vertical-relative:margin" o:allowincell="f" filled="f" stroked="f" strokeweight="0">
            <v:textbox inset="0,0,0,0">
              <w:txbxContent>
                <w:sdt>
                  <w:sdtPr>
                    <w:rPr>
                      <w:rFonts w:ascii="Arial" w:hAnsi="Arial" w:cs="Arial"/>
                      <w:b/>
                      <w:bCs/>
                      <w:color w:val="000080"/>
                      <w:sz w:val="16"/>
                      <w:szCs w:val="16"/>
                    </w:rPr>
                    <w:alias w:val="Commissioners"/>
                    <w:tag w:val="Commissioners"/>
                    <w:id w:val="524722490"/>
                    <w:lock w:val="sdtContentLocked"/>
                    <w:placeholder>
                      <w:docPart w:val="5D02AA53722B483C8A8D9BD6D7CCF75F"/>
                    </w:placeholder>
                  </w:sdtPr>
                  <w:sdtEndPr>
                    <w:rPr>
                      <w:rFonts w:ascii="Helvetica" w:hAnsi="Helvetica" w:cs="Helvetica"/>
                      <w:color w:val="000000"/>
                      <w:sz w:val="20"/>
                      <w:szCs w:val="20"/>
                    </w:rPr>
                  </w:sdtEndPr>
                  <w:sdtContent>
                    <w:p w:rsidR="001C6448" w:rsidRDefault="00A830C7"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Herbert S. Wong, PhD</w:t>
                      </w: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rsidR="00BC1A71" w:rsidRDefault="00BC1A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BC1A71" w:rsidRDefault="00BC1A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Joseph Antos, PhD</w:t>
                      </w:r>
                    </w:p>
                    <w:p w:rsidR="00477B46" w:rsidRDefault="00477B46"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477B46" w:rsidRDefault="00477B46"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8369BA"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George H. Bone,</w:t>
                      </w: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 M.D.</w:t>
                      </w:r>
                    </w:p>
                    <w:p w:rsidR="00A830C7" w:rsidRDefault="00A830C7"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830C7" w:rsidRDefault="00A830C7"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John M. Colmers</w:t>
                      </w:r>
                    </w:p>
                    <w:p w:rsidR="00A830C7" w:rsidRDefault="00A830C7"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1C6448" w:rsidRDefault="001C644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1C6448" w:rsidRDefault="00AB5228"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sdtContent>
                </w:sdt>
              </w:txbxContent>
            </v:textbox>
            <w10:wrap anchorx="margin" anchory="margin"/>
            <w10:anchorlock/>
          </v:rect>
        </w:pict>
      </w:r>
      <w:r>
        <w:rPr>
          <w:noProof/>
        </w:rPr>
        <w:pict>
          <v:rect id="_x0000_s1027" style="position:absolute;margin-left:386.3pt;margin-top:-184.8pt;width:123.8pt;height:175.2pt;z-index:-251658752;mso-position-horizontal-relative:margin;mso-position-vertical-relative:margin" o:allowincell="f" filled="f" stroked="f" strokeweight="0">
            <v:textbox inset="0,0,0,0">
              <w:txbxContent>
                <w:sdt>
                  <w:sdtPr>
                    <w:rPr>
                      <w:rFonts w:ascii="Arial" w:hAnsi="Arial" w:cs="Arial"/>
                      <w:b/>
                      <w:bCs/>
                      <w:color w:val="000080"/>
                      <w:sz w:val="16"/>
                      <w:szCs w:val="16"/>
                    </w:rPr>
                    <w:alias w:val="Staff"/>
                    <w:tag w:val="Staff"/>
                    <w:id w:val="524722501"/>
                    <w:lock w:val="sdtContentLocked"/>
                    <w:placeholder>
                      <w:docPart w:val="5D02AA53722B483C8A8D9BD6D7CCF75F"/>
                    </w:placeholder>
                  </w:sdtPr>
                  <w:sdtEndPr>
                    <w:rPr>
                      <w:rFonts w:ascii="Helvetica" w:hAnsi="Helvetica" w:cs="Helvetica"/>
                      <w:color w:val="000000"/>
                      <w:sz w:val="20"/>
                      <w:szCs w:val="20"/>
                    </w:rPr>
                  </w:sdtEndPr>
                  <w:sdtContent>
                    <w:p w:rsidR="001C6448" w:rsidRDefault="001C6448"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E2769E" w:rsidRDefault="00E2769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Donna Kinzer</w:t>
                      </w:r>
                    </w:p>
                    <w:p w:rsidR="00E2769E" w:rsidRDefault="00E2769E" w:rsidP="0014500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jc w:val="center"/>
                        <w:rPr>
                          <w:rFonts w:ascii="Arial" w:hAnsi="Arial" w:cs="Arial"/>
                          <w:b/>
                          <w:bCs/>
                          <w:color w:val="000080"/>
                          <w:sz w:val="16"/>
                          <w:szCs w:val="16"/>
                        </w:rPr>
                      </w:pPr>
                      <w:r>
                        <w:rPr>
                          <w:rFonts w:ascii="Arial" w:hAnsi="Arial" w:cs="Arial"/>
                          <w:b/>
                          <w:bCs/>
                          <w:color w:val="000080"/>
                          <w:sz w:val="16"/>
                          <w:szCs w:val="16"/>
                        </w:rPr>
                        <w:t>Executive Director</w:t>
                      </w:r>
                    </w:p>
                    <w:p w:rsidR="001C6448" w:rsidRDefault="001C6448">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Stephen Ports</w:t>
                      </w:r>
                      <w:r w:rsidR="005D76AC">
                        <w:rPr>
                          <w:rFonts w:ascii="Arial" w:hAnsi="Arial" w:cs="Arial"/>
                          <w:b/>
                          <w:bCs/>
                          <w:color w:val="000080"/>
                          <w:sz w:val="16"/>
                          <w:szCs w:val="16"/>
                        </w:rPr>
                        <w:t>, Director</w:t>
                      </w:r>
                    </w:p>
                    <w:p w:rsidR="005D76AC" w:rsidRDefault="005D76AC" w:rsidP="005D76A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Engagement</w:t>
                      </w:r>
                    </w:p>
                    <w:p w:rsidR="00BE6D9A" w:rsidRDefault="005D76AC" w:rsidP="005D76A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jc w:val="center"/>
                        <w:rPr>
                          <w:rFonts w:ascii="Arial" w:hAnsi="Arial" w:cs="Arial"/>
                          <w:b/>
                          <w:bCs/>
                          <w:color w:val="000080"/>
                          <w:sz w:val="16"/>
                          <w:szCs w:val="16"/>
                        </w:rPr>
                      </w:pPr>
                      <w:r>
                        <w:rPr>
                          <w:rFonts w:ascii="Arial" w:hAnsi="Arial" w:cs="Arial"/>
                          <w:b/>
                          <w:bCs/>
                          <w:color w:val="000080"/>
                          <w:sz w:val="16"/>
                          <w:szCs w:val="16"/>
                        </w:rPr>
                        <w:t>and Alignment</w:t>
                      </w:r>
                    </w:p>
                    <w:p w:rsidR="006D3CCA" w:rsidRDefault="006D3CCA" w:rsidP="006D3CC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Sule Gerovich, PhD, Director</w:t>
                      </w:r>
                    </w:p>
                    <w:p w:rsidR="006D3CCA" w:rsidRDefault="006D3CCA" w:rsidP="002C35F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w:t>
                      </w:r>
                      <w:r w:rsidR="002C35F5">
                        <w:rPr>
                          <w:rFonts w:ascii="Arial" w:hAnsi="Arial" w:cs="Arial"/>
                          <w:b/>
                          <w:bCs/>
                          <w:color w:val="000080"/>
                          <w:sz w:val="16"/>
                          <w:szCs w:val="16"/>
                        </w:rPr>
                        <w:t xml:space="preserve"> </w:t>
                      </w:r>
                      <w:r>
                        <w:rPr>
                          <w:rFonts w:ascii="Arial" w:hAnsi="Arial" w:cs="Arial"/>
                          <w:b/>
                          <w:bCs/>
                          <w:color w:val="000080"/>
                          <w:sz w:val="16"/>
                          <w:szCs w:val="16"/>
                        </w:rPr>
                        <w:t>Based Methodologies</w:t>
                      </w:r>
                    </w:p>
                    <w:p w:rsidR="002C35F5" w:rsidRDefault="002C35F5" w:rsidP="002C35F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BE6D9A" w:rsidRDefault="00A34B2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L. Peterson</w:t>
                      </w:r>
                      <w:r w:rsidR="005D76AC">
                        <w:rPr>
                          <w:rFonts w:ascii="Arial" w:hAnsi="Arial" w:cs="Arial"/>
                          <w:b/>
                          <w:bCs/>
                          <w:color w:val="000080"/>
                          <w:sz w:val="16"/>
                          <w:szCs w:val="16"/>
                        </w:rPr>
                        <w:t xml:space="preserve">, </w:t>
                      </w:r>
                      <w:r w:rsidR="00BE6D9A">
                        <w:rPr>
                          <w:rFonts w:ascii="Arial" w:hAnsi="Arial" w:cs="Arial"/>
                          <w:b/>
                          <w:bCs/>
                          <w:color w:val="000080"/>
                          <w:sz w:val="16"/>
                          <w:szCs w:val="16"/>
                        </w:rPr>
                        <w:t>Director</w:t>
                      </w:r>
                    </w:p>
                    <w:p w:rsidR="001C6448" w:rsidRDefault="005D76AC" w:rsidP="002C35F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Clinical and</w:t>
                      </w:r>
                      <w:r w:rsidR="002C35F5">
                        <w:rPr>
                          <w:rFonts w:ascii="Arial" w:hAnsi="Arial" w:cs="Arial"/>
                          <w:b/>
                          <w:bCs/>
                          <w:color w:val="000080"/>
                          <w:sz w:val="16"/>
                          <w:szCs w:val="16"/>
                        </w:rPr>
                        <w:t xml:space="preserve"> </w:t>
                      </w:r>
                      <w:r>
                        <w:rPr>
                          <w:rFonts w:ascii="Arial" w:hAnsi="Arial" w:cs="Arial"/>
                          <w:b/>
                          <w:bCs/>
                          <w:color w:val="000080"/>
                          <w:sz w:val="16"/>
                          <w:szCs w:val="16"/>
                        </w:rPr>
                        <w:t>Financial Information</w:t>
                      </w:r>
                    </w:p>
                    <w:p w:rsidR="002C35F5" w:rsidRDefault="002C35F5" w:rsidP="002C35F5">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1C6448" w:rsidRDefault="001C6448">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w:t>
                      </w:r>
                      <w:r w:rsidR="005D76AC">
                        <w:rPr>
                          <w:rFonts w:ascii="Arial" w:hAnsi="Arial" w:cs="Arial"/>
                          <w:b/>
                          <w:bCs/>
                          <w:color w:val="000080"/>
                          <w:sz w:val="16"/>
                          <w:szCs w:val="16"/>
                        </w:rPr>
                        <w:t xml:space="preserve">, </w:t>
                      </w:r>
                      <w:r>
                        <w:rPr>
                          <w:rFonts w:ascii="Arial" w:hAnsi="Arial" w:cs="Arial"/>
                          <w:b/>
                          <w:bCs/>
                          <w:color w:val="000080"/>
                          <w:sz w:val="16"/>
                          <w:szCs w:val="16"/>
                        </w:rPr>
                        <w:t>Director</w:t>
                      </w:r>
                    </w:p>
                    <w:p w:rsidR="001C6448" w:rsidRDefault="005D76AC" w:rsidP="0014500A">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jc w:val="center"/>
                        <w:rPr>
                          <w:rFonts w:ascii="Arial" w:hAnsi="Arial" w:cs="Arial"/>
                          <w:b/>
                          <w:bCs/>
                          <w:color w:val="000080"/>
                          <w:sz w:val="16"/>
                          <w:szCs w:val="16"/>
                        </w:rPr>
                      </w:pPr>
                      <w:r>
                        <w:rPr>
                          <w:rFonts w:ascii="Arial" w:hAnsi="Arial" w:cs="Arial"/>
                          <w:b/>
                          <w:bCs/>
                          <w:color w:val="000080"/>
                          <w:sz w:val="16"/>
                          <w:szCs w:val="16"/>
                        </w:rPr>
                        <w:t>Revenue and Regulation Compliance</w:t>
                      </w:r>
                    </w:p>
                    <w:p w:rsidR="001C6448" w:rsidRPr="00F51FC0" w:rsidRDefault="00AB5228" w:rsidP="005D76A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Cs/>
                          <w:color w:val="000000"/>
                          <w:sz w:val="20"/>
                          <w:szCs w:val="20"/>
                        </w:rPr>
                      </w:pPr>
                    </w:p>
                  </w:sdtContent>
                </w:sdt>
              </w:txbxContent>
            </v:textbox>
            <w10:wrap anchorx="margin" anchory="margin"/>
            <w10:anchorlock/>
          </v:rect>
        </w:pict>
      </w:r>
      <w:r>
        <w:rPr>
          <w:noProof/>
        </w:rPr>
        <w:pict>
          <v:rect id="_x0000_s1028" style="position:absolute;margin-left:93.35pt;margin-top:-1in;width:282.2pt;height:52.8pt;z-index:-251657728;mso-position-horizontal-relative:margin;mso-position-vertical-relative:margin" o:allowincell="f" filled="f" stroked="f" strokeweight="0">
            <v:textbox inset="0,0,0,0">
              <w:txbxContent>
                <w:sdt>
                  <w:sdtPr>
                    <w:rPr>
                      <w:rFonts w:ascii="Times New Roman" w:hAnsi="Times New Roman" w:cs="Times New Roman"/>
                      <w:b w:val="0"/>
                      <w:bCs w:val="0"/>
                      <w:color w:val="auto"/>
                      <w:sz w:val="20"/>
                      <w:szCs w:val="20"/>
                    </w:rPr>
                    <w:alias w:val="HSCRC"/>
                    <w:tag w:val="HSCRC"/>
                    <w:id w:val="524722498"/>
                    <w:lock w:val="sdtContentLocked"/>
                    <w:placeholder>
                      <w:docPart w:val="5D02AA53722B483C8A8D9BD6D7CCF75F"/>
                    </w:placeholder>
                  </w:sdtPr>
                  <w:sdtEndPr>
                    <w:rPr>
                      <w:sz w:val="16"/>
                      <w:szCs w:val="16"/>
                    </w:rPr>
                  </w:sdtEndPr>
                  <w:sdtContent>
                    <w:p w:rsidR="001C6448" w:rsidRDefault="001C6448">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w:t>
                      </w:r>
                      <w:r w:rsidR="00EE4A5D" w:rsidRPr="00EE4A5D">
                        <w:rPr>
                          <w:sz w:val="24"/>
                          <w:szCs w:val="24"/>
                        </w:rPr>
                        <w:t>ealth</w:t>
                      </w:r>
                      <w:r w:rsidRPr="00EE4A5D">
                        <w:rPr>
                          <w:sz w:val="24"/>
                          <w:szCs w:val="24"/>
                        </w:rPr>
                        <w:t xml:space="preserve"> S</w:t>
                      </w:r>
                      <w:r w:rsidR="00EE4A5D" w:rsidRPr="00EE4A5D">
                        <w:rPr>
                          <w:sz w:val="24"/>
                          <w:szCs w:val="24"/>
                        </w:rPr>
                        <w:t>ervices</w:t>
                      </w:r>
                      <w:r w:rsidRPr="00EE4A5D">
                        <w:rPr>
                          <w:sz w:val="24"/>
                          <w:szCs w:val="24"/>
                        </w:rPr>
                        <w:t xml:space="preserve"> C</w:t>
                      </w:r>
                      <w:r w:rsidR="00EE4A5D" w:rsidRPr="00EE4A5D">
                        <w:rPr>
                          <w:sz w:val="24"/>
                          <w:szCs w:val="24"/>
                        </w:rPr>
                        <w:t>ost</w:t>
                      </w:r>
                      <w:r w:rsidRPr="00EE4A5D">
                        <w:rPr>
                          <w:sz w:val="24"/>
                          <w:szCs w:val="24"/>
                        </w:rPr>
                        <w:t xml:space="preserve"> R</w:t>
                      </w:r>
                      <w:r w:rsidR="00EE4A5D" w:rsidRPr="00EE4A5D">
                        <w:rPr>
                          <w:sz w:val="24"/>
                          <w:szCs w:val="24"/>
                        </w:rPr>
                        <w:t>eview</w:t>
                      </w:r>
                      <w:r w:rsidRPr="00EE4A5D">
                        <w:rPr>
                          <w:sz w:val="24"/>
                          <w:szCs w:val="24"/>
                        </w:rPr>
                        <w:t xml:space="preserve"> C</w:t>
                      </w:r>
                      <w:r w:rsidR="00EE4A5D" w:rsidRPr="00EE4A5D">
                        <w:rPr>
                          <w:sz w:val="24"/>
                          <w:szCs w:val="24"/>
                        </w:rPr>
                        <w:t>ommission</w:t>
                      </w:r>
                    </w:p>
                    <w:p w:rsidR="001C6448" w:rsidRDefault="001C6448">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rsidR="001C6448" w:rsidRDefault="001C6448"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rsidR="001C6448" w:rsidRDefault="001C644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rsidR="001C6448" w:rsidRPr="001C6448" w:rsidRDefault="001C644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9" w:history="1">
                        <w:r w:rsidRPr="001C6448">
                          <w:rPr>
                            <w:rStyle w:val="Hyperlink"/>
                            <w:rFonts w:ascii="Arial" w:hAnsi="Arial" w:cs="Arial"/>
                            <w:color w:val="000080"/>
                            <w:sz w:val="16"/>
                            <w:szCs w:val="16"/>
                            <w:u w:val="none"/>
                          </w:rPr>
                          <w:t>hscrc.maryland.gov</w:t>
                        </w:r>
                      </w:hyperlink>
                    </w:p>
                  </w:sdtContent>
                </w:sdt>
              </w:txbxContent>
            </v:textbox>
            <w10:wrap anchorx="margin" anchory="margin"/>
            <w10:anchorlock/>
          </v:rect>
        </w:pict>
      </w:r>
      <w:r>
        <w:rPr>
          <w:noProof/>
        </w:rPr>
        <w:pict>
          <v:rect id="_x0000_s1029" style="position:absolute;margin-left:105.2pt;margin-top:-210.3pt;width:258.2pt;height:25.5pt;z-index:-251656704;mso-position-horizontal-relative:margin;mso-position-vertical-relative:margin" o:allowincell="f" filled="f" stroked="f" strokeweight="0">
            <v:textbox inset="0,0,0,0">
              <w:txbxContent>
                <w:sdt>
                  <w:sdtPr>
                    <w:rPr>
                      <w:rFonts w:ascii="Arial" w:hAnsi="Arial" w:cs="Arial"/>
                      <w:b/>
                      <w:bCs/>
                      <w:color w:val="000080"/>
                      <w:sz w:val="16"/>
                      <w:szCs w:val="16"/>
                    </w:rPr>
                    <w:alias w:val="MD DHMH"/>
                    <w:tag w:val="MD DHMH"/>
                    <w:id w:val="524722497"/>
                    <w:lock w:val="sdtContentLocked"/>
                    <w:placeholder>
                      <w:docPart w:val="5D02AA53722B483C8A8D9BD6D7CCF75F"/>
                    </w:placeholder>
                  </w:sdtPr>
                  <w:sdtEndPr>
                    <w:rPr>
                      <w:rFonts w:ascii="Helvetica" w:hAnsi="Helvetica" w:cs="Helvetica"/>
                      <w:color w:val="000000"/>
                      <w:sz w:val="20"/>
                      <w:szCs w:val="20"/>
                    </w:rPr>
                  </w:sdtEndPr>
                  <w:sdtContent>
                    <w:p w:rsidR="001C6448" w:rsidRPr="00EE4A5D" w:rsidRDefault="001C6448">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w:t>
                      </w:r>
                      <w:r w:rsidR="00F51FC0" w:rsidRPr="00EE4A5D">
                        <w:rPr>
                          <w:rFonts w:ascii="Arial" w:hAnsi="Arial" w:cs="Arial"/>
                          <w:b/>
                          <w:bCs/>
                          <w:color w:val="000080"/>
                          <w:sz w:val="20"/>
                          <w:szCs w:val="20"/>
                        </w:rPr>
                        <w:t>tate</w:t>
                      </w:r>
                      <w:r w:rsidRPr="00EE4A5D">
                        <w:rPr>
                          <w:rFonts w:ascii="Arial" w:hAnsi="Arial" w:cs="Arial"/>
                          <w:b/>
                          <w:bCs/>
                          <w:color w:val="000080"/>
                          <w:sz w:val="20"/>
                          <w:szCs w:val="20"/>
                        </w:rPr>
                        <w:t xml:space="preserve"> </w:t>
                      </w:r>
                      <w:r w:rsidR="00F51FC0" w:rsidRPr="00EE4A5D">
                        <w:rPr>
                          <w:rFonts w:ascii="Arial" w:hAnsi="Arial" w:cs="Arial"/>
                          <w:b/>
                          <w:bCs/>
                          <w:color w:val="000080"/>
                          <w:sz w:val="20"/>
                          <w:szCs w:val="20"/>
                        </w:rPr>
                        <w:t>of</w:t>
                      </w:r>
                      <w:r w:rsidRPr="00EE4A5D">
                        <w:rPr>
                          <w:rFonts w:ascii="Arial" w:hAnsi="Arial" w:cs="Arial"/>
                          <w:b/>
                          <w:bCs/>
                          <w:color w:val="000080"/>
                          <w:sz w:val="20"/>
                          <w:szCs w:val="20"/>
                        </w:rPr>
                        <w:t xml:space="preserve"> M</w:t>
                      </w:r>
                      <w:r w:rsidR="00F51FC0" w:rsidRPr="00EE4A5D">
                        <w:rPr>
                          <w:rFonts w:ascii="Arial" w:hAnsi="Arial" w:cs="Arial"/>
                          <w:b/>
                          <w:bCs/>
                          <w:color w:val="000080"/>
                          <w:sz w:val="20"/>
                          <w:szCs w:val="20"/>
                        </w:rPr>
                        <w:t>aryland</w:t>
                      </w:r>
                    </w:p>
                    <w:p w:rsidR="001C6448" w:rsidRDefault="00F51F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 and Mental Hygiene</w:t>
                      </w:r>
                    </w:p>
                    <w:p w:rsidR="001C6448" w:rsidRDefault="00AB5228">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sdtContent>
                </w:sdt>
              </w:txbxContent>
            </v:textbox>
            <w10:wrap anchorx="margin" anchory="margin"/>
            <w10:anchorlock/>
          </v:rect>
        </w:pict>
      </w:r>
    </w:p>
    <w:p w:rsidR="00B26662" w:rsidRDefault="00F05583">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bCs/>
          <w:noProof/>
        </w:rPr>
        <w:drawing>
          <wp:inline distT="0" distB="0" distL="0" distR="0">
            <wp:extent cx="2543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65" t="-1604" r="-1465" b="-1604"/>
                    <a:stretch>
                      <a:fillRect/>
                    </a:stretch>
                  </pic:blipFill>
                  <pic:spPr bwMode="auto">
                    <a:xfrm>
                      <a:off x="0" y="0"/>
                      <a:ext cx="2543175" cy="1371600"/>
                    </a:xfrm>
                    <a:prstGeom prst="rect">
                      <a:avLst/>
                    </a:prstGeom>
                    <a:noFill/>
                    <a:ln w="9525">
                      <a:noFill/>
                      <a:miter lim="800000"/>
                      <a:headEnd/>
                      <a:tailEnd/>
                    </a:ln>
                  </pic:spPr>
                </pic:pic>
              </a:graphicData>
            </a:graphic>
          </wp:inline>
        </w:drawing>
      </w:r>
    </w:p>
    <w:sdt>
      <w:sdtPr>
        <w:rPr>
          <w:rFonts w:ascii="Times New Roman TUR" w:hAnsi="Times New Roman TUR" w:cs="Times New Roman TUR"/>
          <w:b/>
          <w:bCs/>
        </w:rPr>
        <w:alias w:val="Logo"/>
        <w:tag w:val="Logo"/>
        <w:id w:val="524722485"/>
        <w:lock w:val="sdtContentLocked"/>
        <w:placeholder>
          <w:docPart w:val="077855493F0B42669C500A9BD087DF47"/>
        </w:placeholder>
      </w:sdtPr>
      <w:sdtEndPr/>
      <w:sdtContent>
        <w:sdt>
          <w:sdtPr>
            <w:rPr>
              <w:rFonts w:asciiTheme="minorHAnsi" w:hAnsiTheme="minorHAnsi" w:cs="Times New Roman TUR"/>
              <w:bCs/>
              <w:sz w:val="22"/>
              <w:szCs w:val="22"/>
            </w:rPr>
            <w:alias w:val="Logo"/>
            <w:tag w:val="Logo"/>
            <w:id w:val="524722486"/>
            <w:lock w:val="sdtContentLocked"/>
            <w:placeholder>
              <w:docPart w:val="077855493F0B42669C500A9BD087DF47"/>
            </w:placeholder>
          </w:sdtPr>
          <w:sdtEndPr/>
          <w:sdtContent>
            <w:p w:rsidR="00B26662" w:rsidRDefault="00F05583">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r w:rsidRPr="00185140">
                <w:rPr>
                  <w:rFonts w:asciiTheme="minorHAnsi" w:hAnsiTheme="minorHAnsi" w:cs="Times New Roman TUR"/>
                  <w:bCs/>
                  <w:noProof/>
                  <w:sz w:val="22"/>
                  <w:szCs w:val="22"/>
                </w:rPr>
                <w:drawing>
                  <wp:anchor distT="0" distB="0" distL="114300" distR="114300" simplePos="0" relativeHeight="251655680" behindDoc="0" locked="1" layoutInCell="1" allowOverlap="1">
                    <wp:simplePos x="0" y="0"/>
                    <wp:positionH relativeFrom="page">
                      <wp:posOffset>2590800</wp:posOffset>
                    </wp:positionH>
                    <wp:positionV relativeFrom="page">
                      <wp:posOffset>815340</wp:posOffset>
                    </wp:positionV>
                    <wp:extent cx="2541905" cy="1368425"/>
                    <wp:effectExtent l="19050" t="0" r="0" b="0"/>
                    <wp:wrapTight wrapText="bothSides">
                      <wp:wrapPolygon edited="0">
                        <wp:start x="-162" y="0"/>
                        <wp:lineTo x="-162" y="21349"/>
                        <wp:lineTo x="21530" y="21349"/>
                        <wp:lineTo x="21530" y="0"/>
                        <wp:lineTo x="-162" y="0"/>
                      </wp:wrapPolygon>
                    </wp:wrapTight>
                    <wp:docPr id="7" name="Picture 7"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1" cstate="print"/>
                            <a:srcRect/>
                            <a:stretch>
                              <a:fillRect/>
                            </a:stretch>
                          </pic:blipFill>
                          <pic:spPr bwMode="auto">
                            <a:xfrm>
                              <a:off x="0" y="0"/>
                              <a:ext cx="2541905" cy="1368425"/>
                            </a:xfrm>
                            <a:prstGeom prst="rect">
                              <a:avLst/>
                            </a:prstGeom>
                            <a:noFill/>
                          </pic:spPr>
                        </pic:pic>
                      </a:graphicData>
                    </a:graphic>
                  </wp:anchor>
                </w:drawing>
              </w:r>
            </w:p>
          </w:sdtContent>
        </w:sdt>
      </w:sdtContent>
    </w:sdt>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Cs w:val="0"/>
          <w:color w:val="auto"/>
          <w:sz w:val="28"/>
          <w:szCs w:val="28"/>
        </w:rPr>
      </w:pPr>
      <w:r>
        <w:rPr>
          <w:rFonts w:ascii="Times New Roman" w:hAnsi="Times New Roman" w:cs="Times New Roman"/>
          <w:bCs w:val="0"/>
          <w:color w:val="auto"/>
          <w:sz w:val="28"/>
          <w:szCs w:val="28"/>
        </w:rPr>
        <w:t>Data Use Agreement for the Statistical Request</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val="0"/>
          <w:bCs w:val="0"/>
          <w:color w:val="auto"/>
          <w:sz w:val="28"/>
          <w:szCs w:val="28"/>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This data use agreement pertains to the statistical requests using Hospital Discharge Data Sets (Inpatient) and Hospital Outpatient Data Sets (Outpatient) collected by the Health Services Cost Review Commission (“HSCRC”) under COMAR 10.37.06 and COMAR 10.37.04.   Depending on the level of aggregation, some of these data may be considered protected health information (PHI).  The undersigned gives the following assurances with respect to the HSCRC data sets (“Data”):</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 xml:space="preserve"> Considers the security and confidentiality of </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t>(Insert name of Organization, Health Care Provider, or Researcher)</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PHI as a matter of high priority.  Any and all members of this organization having access to patient medical files and information contained in the above-mentioned datasets will be held responsible for safeguarding and maintaining strict confidentiality.  In order to be granted access to PHI, you must agree unconditionally to the following standards:</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I will not attempt to use or permit others to use the datasets to learn the identity of any person included in the datasets;</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I will require others in the organization, as well as any subcontractor to the organization who uses the data, to sign an agreement assuring full compliance with this Statistical Data Use Agreement.  The organization will keep these signed agreements and make them available to the HSCRC during normal business hours and upon receipt of prior written notice;</w:t>
      </w:r>
    </w:p>
    <w:p w:rsidR="00AB5228" w:rsidRDefault="00AB5228" w:rsidP="00AB5228">
      <w:pPr>
        <w:pStyle w:val="ListParagraph"/>
        <w:rPr>
          <w:b/>
          <w:bCs/>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 data security plan, which adequately addresses the requirements contained herein, shall be maintained by any subcontractor employed by the organization;</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I will not release or permit others to release any information that identifies persons, directly or indirectly;</w:t>
      </w:r>
    </w:p>
    <w:p w:rsidR="00AB5228" w:rsidRDefault="00AB5228" w:rsidP="00AB5228">
      <w:pPr>
        <w:pStyle w:val="ListParagraph"/>
        <w:rPr>
          <w:b/>
          <w:bCs/>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I will not release or publicize, or permit others to release or publicize, statistics where the number of observations in any given cell of tabulated data is less than or equal to ten (10);</w:t>
      </w:r>
    </w:p>
    <w:p w:rsidR="00AB5228" w:rsidRDefault="00AB5228" w:rsidP="00AB5228">
      <w:pPr>
        <w:pStyle w:val="ListParagraph"/>
        <w:rPr>
          <w:b/>
          <w:bCs/>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I will not attempt to link or permit others to attempt to link the hospital discharge records of persons in the data set with personally identifiable records from any source;</w:t>
      </w:r>
    </w:p>
    <w:p w:rsidR="00AB5228" w:rsidRDefault="00AB5228" w:rsidP="00AB5228">
      <w:pPr>
        <w:pStyle w:val="ListParagraph"/>
        <w:rPr>
          <w:b/>
          <w:bCs/>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I will not release or permit others to release the datasets or any part of it to any person who is not a member of the </w:t>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u w:val="single"/>
        </w:rPr>
        <w:tab/>
      </w:r>
      <w:r>
        <w:rPr>
          <w:rFonts w:ascii="Times New Roman" w:hAnsi="Times New Roman" w:cs="Times New Roman"/>
          <w:b w:val="0"/>
          <w:bCs w:val="0"/>
          <w:color w:val="auto"/>
          <w:sz w:val="24"/>
          <w:szCs w:val="24"/>
        </w:rPr>
        <w:t xml:space="preserve">, or to </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i/>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Pr>
          <w:rFonts w:ascii="Times New Roman" w:hAnsi="Times New Roman" w:cs="Times New Roman"/>
          <w:b w:val="0"/>
          <w:i/>
          <w:color w:val="auto"/>
          <w:sz w:val="20"/>
          <w:szCs w:val="20"/>
        </w:rPr>
        <w:t>(Insert name of Organization, Health Care Provider, or Researcher)</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proofErr w:type="gramStart"/>
      <w:r>
        <w:rPr>
          <w:rFonts w:ascii="Times New Roman" w:hAnsi="Times New Roman" w:cs="Times New Roman"/>
          <w:b w:val="0"/>
          <w:color w:val="auto"/>
          <w:sz w:val="24"/>
          <w:szCs w:val="24"/>
        </w:rPr>
        <w:t>any</w:t>
      </w:r>
      <w:proofErr w:type="gramEnd"/>
      <w:r>
        <w:rPr>
          <w:rFonts w:ascii="Times New Roman" w:hAnsi="Times New Roman" w:cs="Times New Roman"/>
          <w:b w:val="0"/>
          <w:color w:val="auto"/>
          <w:sz w:val="24"/>
          <w:szCs w:val="24"/>
        </w:rPr>
        <w:t xml:space="preserve"> entity, without the prior written approval of the HSCRC;</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 w:val="0"/>
          <w:color w:val="auto"/>
          <w:sz w:val="24"/>
          <w:szCs w:val="24"/>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Times New Roman"/>
          <w:b w:val="0"/>
          <w:bCs w:val="0"/>
          <w:color w:val="auto"/>
          <w:sz w:val="22"/>
          <w:szCs w:val="22"/>
        </w:rPr>
      </w:pPr>
      <w:r>
        <w:rPr>
          <w:rFonts w:ascii="Times New Roman" w:hAnsi="Times New Roman" w:cs="Times New Roman"/>
          <w:b w:val="0"/>
          <w:color w:val="auto"/>
          <w:sz w:val="24"/>
          <w:szCs w:val="24"/>
        </w:rPr>
        <w:t xml:space="preserve">I will only use the data for the purposes of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rPr>
        <w:t xml:space="preserve"> and will acknowledge in all reports based on these data, by direct cite where space and/or publication guidelines permit or by inclusion in a list of data contributors available upon request, that the source is the Health Services Cost Review Commission;</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cs="Times New Roman"/>
          <w:b w:val="0"/>
          <w:color w:val="auto"/>
          <w:sz w:val="24"/>
          <w:szCs w:val="24"/>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The HSCRC staff or agent thereof reserves the right to inspect the offices of the data user, during normal business hours and upon prior written notice, to ensure compliance with this data use agreement</w:t>
      </w:r>
      <w:r>
        <w:rPr>
          <w:rFonts w:ascii="Times New Roman" w:hAnsi="Times New Roman" w:cs="Times New Roman"/>
          <w:b w:val="0"/>
          <w:bCs w:val="0"/>
          <w:color w:val="auto"/>
          <w:sz w:val="24"/>
          <w:szCs w:val="24"/>
        </w:rPr>
        <w:t>;</w:t>
      </w:r>
    </w:p>
    <w:p w:rsidR="00AB5228" w:rsidRDefault="00AB5228" w:rsidP="00AB5228">
      <w:pPr>
        <w:pStyle w:val="ListParagraph"/>
        <w:rPr>
          <w:b/>
          <w:bCs/>
        </w:rPr>
      </w:pPr>
    </w:p>
    <w:p w:rsidR="00AB5228" w:rsidRDefault="00AB5228" w:rsidP="00AB5228">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I will ensure that the transmission of Protected Health Information is in full compliance with the Privacy Act, Freedom of Information Act, HIPAA, and all other State and federal laws and regulations, as well as all Medicare regulations, directives, instructions, and manuals.</w:t>
      </w:r>
    </w:p>
    <w:p w:rsidR="00AB5228" w:rsidRDefault="00AB5228" w:rsidP="00AB5228">
      <w:pPr>
        <w:pStyle w:val="ListParagraph"/>
        <w:rPr>
          <w:b/>
          <w:bCs/>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val="0"/>
          <w:bCs w:val="0"/>
          <w:color w:val="auto"/>
          <w:sz w:val="24"/>
          <w:szCs w:val="24"/>
        </w:rPr>
      </w:pPr>
    </w:p>
    <w:p w:rsidR="00AB5228" w:rsidRDefault="00AB5228" w:rsidP="00AB5228">
      <w:pPr>
        <w:pStyle w:val="ListParagraph"/>
        <w:rPr>
          <w:b/>
          <w:bCs/>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val="0"/>
          <w:bCs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bCs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lastRenderedPageBreak/>
        <w:t>HEALTH SERVICES COST REVIEW COMMISSION</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Times New Roman"/>
          <w:b w:val="0"/>
          <w:bCs w:val="0"/>
          <w:color w:val="auto"/>
          <w:sz w:val="22"/>
          <w:szCs w:val="22"/>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Cs w:val="0"/>
          <w:color w:val="auto"/>
          <w:sz w:val="28"/>
          <w:szCs w:val="28"/>
        </w:rPr>
      </w:pPr>
      <w:r>
        <w:rPr>
          <w:rFonts w:ascii="Calibri" w:hAnsi="Calibri" w:cs="Times New Roman"/>
          <w:b w:val="0"/>
          <w:bCs w:val="0"/>
          <w:color w:val="auto"/>
          <w:sz w:val="22"/>
          <w:szCs w:val="22"/>
        </w:rPr>
        <w:t xml:space="preserve">  </w:t>
      </w:r>
      <w:r>
        <w:rPr>
          <w:rFonts w:ascii="Times New Roman" w:hAnsi="Times New Roman" w:cs="Times New Roman"/>
          <w:bCs w:val="0"/>
          <w:color w:val="auto"/>
          <w:sz w:val="28"/>
          <w:szCs w:val="28"/>
        </w:rPr>
        <w:t>Data Use Agreement for the Statistical Request</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Cs w:val="0"/>
          <w:color w:val="auto"/>
          <w:sz w:val="28"/>
          <w:szCs w:val="28"/>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My signature indicates agreement to comply with the above-stated requirements.  I understand that failure to comply with the provisions specified herein may result in civil and/or criminal penalties in accordance with state law and policy.</w:t>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Signed: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rPr>
        <w:t xml:space="preserve"> Date: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Print or Type Name: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Phone: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Title: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Organization: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Address: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City: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State: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Zip Code: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p>
    <w:p w:rsidR="00AB5228" w:rsidRDefault="00AB5228" w:rsidP="00AB522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E-mail Address: </w:t>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r>
        <w:rPr>
          <w:rFonts w:ascii="Times New Roman" w:hAnsi="Times New Roman" w:cs="Times New Roman"/>
          <w:b w:val="0"/>
          <w:color w:val="auto"/>
          <w:sz w:val="24"/>
          <w:szCs w:val="24"/>
          <w:u w:val="single"/>
        </w:rPr>
        <w:tab/>
      </w:r>
    </w:p>
    <w:p w:rsidR="00AB5228" w:rsidRPr="00F51FC0" w:rsidRDefault="00AB5228" w:rsidP="00AB5228">
      <w:pPr>
        <w:pStyle w:val="WP9Heading"/>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w:hAnsi="Times New Roman" w:cs="Times New Roman"/>
          <w:b w:val="0"/>
          <w:bCs w:val="0"/>
          <w:color w:val="auto"/>
          <w:sz w:val="22"/>
          <w:szCs w:val="22"/>
        </w:rPr>
      </w:pPr>
    </w:p>
    <w:p w:rsidR="00AB5228" w:rsidRDefault="00AB5228" w:rsidP="00AB5228">
      <w:pPr>
        <w:jc w:val="center"/>
        <w:rPr>
          <w:b/>
          <w:bCs/>
          <w:sz w:val="20"/>
          <w:szCs w:val="20"/>
        </w:rPr>
      </w:pPr>
    </w:p>
    <w:p w:rsidR="00AB5228" w:rsidRPr="00F51FC0" w:rsidRDefault="00AB5228" w:rsidP="00AB5228">
      <w:pPr>
        <w:widowControl/>
        <w:rPr>
          <w:b/>
          <w:bCs/>
          <w:sz w:val="22"/>
          <w:szCs w:val="22"/>
        </w:rPr>
      </w:pPr>
    </w:p>
    <w:p w:rsidR="00CB4618" w:rsidRDefault="00CB4618" w:rsidP="002C35F5">
      <w:pPr>
        <w:rPr>
          <w:sz w:val="22"/>
          <w:szCs w:val="22"/>
        </w:rPr>
      </w:pPr>
    </w:p>
    <w:sectPr w:rsidR="00CB4618" w:rsidSect="005F3A69">
      <w:headerReference w:type="default" r:id="rId12"/>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46" w:rsidRDefault="00477B46">
      <w:r>
        <w:separator/>
      </w:r>
    </w:p>
  </w:endnote>
  <w:endnote w:type="continuationSeparator" w:id="0">
    <w:p w:rsidR="00477B46" w:rsidRDefault="004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48" w:rsidRDefault="001C6448">
    <w:pPr>
      <w:pStyle w:val="Footer"/>
      <w:jc w:val="center"/>
    </w:pPr>
  </w:p>
  <w:p w:rsidR="001C6448" w:rsidRDefault="001C6448"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48" w:rsidRPr="001F2373" w:rsidRDefault="001C6448" w:rsidP="00124C87">
    <w:pPr>
      <w:pStyle w:val="Footer"/>
      <w:jc w:val="cen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46" w:rsidRDefault="00477B46">
      <w:r>
        <w:separator/>
      </w:r>
    </w:p>
  </w:footnote>
  <w:footnote w:type="continuationSeparator" w:id="0">
    <w:p w:rsidR="00477B46" w:rsidRDefault="00477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48" w:rsidRDefault="001C6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2FFE"/>
    <w:multiLevelType w:val="hybridMultilevel"/>
    <w:tmpl w:val="F7447500"/>
    <w:lvl w:ilvl="0" w:tplc="BC64E828">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54669"/>
    <w:multiLevelType w:val="hybridMultilevel"/>
    <w:tmpl w:val="356CD13C"/>
    <w:lvl w:ilvl="0" w:tplc="68DE9D28">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01202"/>
    <w:multiLevelType w:val="hybridMultilevel"/>
    <w:tmpl w:val="B7664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77B46"/>
    <w:rsid w:val="00000FD7"/>
    <w:rsid w:val="00005ADB"/>
    <w:rsid w:val="00012E7F"/>
    <w:rsid w:val="00025740"/>
    <w:rsid w:val="00032238"/>
    <w:rsid w:val="00036F18"/>
    <w:rsid w:val="00063898"/>
    <w:rsid w:val="0006560B"/>
    <w:rsid w:val="00077778"/>
    <w:rsid w:val="000838A3"/>
    <w:rsid w:val="00087C0A"/>
    <w:rsid w:val="000902BF"/>
    <w:rsid w:val="000916CB"/>
    <w:rsid w:val="000A774C"/>
    <w:rsid w:val="000B1DC6"/>
    <w:rsid w:val="000B56A6"/>
    <w:rsid w:val="000C4350"/>
    <w:rsid w:val="000E6C73"/>
    <w:rsid w:val="000F694A"/>
    <w:rsid w:val="0010025A"/>
    <w:rsid w:val="001059E8"/>
    <w:rsid w:val="00105E0D"/>
    <w:rsid w:val="001216B6"/>
    <w:rsid w:val="00124C87"/>
    <w:rsid w:val="001253C6"/>
    <w:rsid w:val="00127604"/>
    <w:rsid w:val="00133ADC"/>
    <w:rsid w:val="00135034"/>
    <w:rsid w:val="00141F8F"/>
    <w:rsid w:val="0014500A"/>
    <w:rsid w:val="001513AF"/>
    <w:rsid w:val="00162540"/>
    <w:rsid w:val="00172FCF"/>
    <w:rsid w:val="001845BC"/>
    <w:rsid w:val="00185140"/>
    <w:rsid w:val="00185A28"/>
    <w:rsid w:val="001B1DD8"/>
    <w:rsid w:val="001C26EC"/>
    <w:rsid w:val="001C3642"/>
    <w:rsid w:val="001C6448"/>
    <w:rsid w:val="001D098B"/>
    <w:rsid w:val="001D58B0"/>
    <w:rsid w:val="001D7F4F"/>
    <w:rsid w:val="001E11A7"/>
    <w:rsid w:val="001E4D41"/>
    <w:rsid w:val="001E673F"/>
    <w:rsid w:val="001F2373"/>
    <w:rsid w:val="001F69FD"/>
    <w:rsid w:val="00204183"/>
    <w:rsid w:val="00206565"/>
    <w:rsid w:val="00213740"/>
    <w:rsid w:val="00223B01"/>
    <w:rsid w:val="00223E16"/>
    <w:rsid w:val="0023135F"/>
    <w:rsid w:val="00232E55"/>
    <w:rsid w:val="00233193"/>
    <w:rsid w:val="00233C98"/>
    <w:rsid w:val="00240D68"/>
    <w:rsid w:val="002442C4"/>
    <w:rsid w:val="002444E4"/>
    <w:rsid w:val="00247993"/>
    <w:rsid w:val="0025211E"/>
    <w:rsid w:val="002673F1"/>
    <w:rsid w:val="00273073"/>
    <w:rsid w:val="00273B90"/>
    <w:rsid w:val="00280CBD"/>
    <w:rsid w:val="00287345"/>
    <w:rsid w:val="0029709D"/>
    <w:rsid w:val="002B051A"/>
    <w:rsid w:val="002C35F5"/>
    <w:rsid w:val="002D5F28"/>
    <w:rsid w:val="002E2E3C"/>
    <w:rsid w:val="002F28AA"/>
    <w:rsid w:val="002F3EF1"/>
    <w:rsid w:val="003048CF"/>
    <w:rsid w:val="00312776"/>
    <w:rsid w:val="00313752"/>
    <w:rsid w:val="00324CAC"/>
    <w:rsid w:val="00326530"/>
    <w:rsid w:val="00327FC0"/>
    <w:rsid w:val="003312AC"/>
    <w:rsid w:val="003361DC"/>
    <w:rsid w:val="00346A30"/>
    <w:rsid w:val="003506BB"/>
    <w:rsid w:val="00393BC4"/>
    <w:rsid w:val="00394312"/>
    <w:rsid w:val="003A6DE4"/>
    <w:rsid w:val="003B1834"/>
    <w:rsid w:val="003B4657"/>
    <w:rsid w:val="003B5246"/>
    <w:rsid w:val="003C6E04"/>
    <w:rsid w:val="003D6636"/>
    <w:rsid w:val="0041168E"/>
    <w:rsid w:val="00423FB3"/>
    <w:rsid w:val="004270DE"/>
    <w:rsid w:val="00435CB0"/>
    <w:rsid w:val="00440C57"/>
    <w:rsid w:val="00441750"/>
    <w:rsid w:val="00447A2D"/>
    <w:rsid w:val="00450153"/>
    <w:rsid w:val="004568E1"/>
    <w:rsid w:val="00467059"/>
    <w:rsid w:val="0047047C"/>
    <w:rsid w:val="00470F01"/>
    <w:rsid w:val="00477B46"/>
    <w:rsid w:val="004828AE"/>
    <w:rsid w:val="004A4408"/>
    <w:rsid w:val="004A58F1"/>
    <w:rsid w:val="004B4C4E"/>
    <w:rsid w:val="004C1EDD"/>
    <w:rsid w:val="004C2500"/>
    <w:rsid w:val="004C4EA5"/>
    <w:rsid w:val="004D1C3D"/>
    <w:rsid w:val="004F46A7"/>
    <w:rsid w:val="004F6146"/>
    <w:rsid w:val="00503F50"/>
    <w:rsid w:val="005104D4"/>
    <w:rsid w:val="005134D7"/>
    <w:rsid w:val="0051764F"/>
    <w:rsid w:val="00534203"/>
    <w:rsid w:val="00535EA2"/>
    <w:rsid w:val="00547224"/>
    <w:rsid w:val="005500EF"/>
    <w:rsid w:val="00556796"/>
    <w:rsid w:val="00565119"/>
    <w:rsid w:val="005654FD"/>
    <w:rsid w:val="00565ECB"/>
    <w:rsid w:val="00572C6E"/>
    <w:rsid w:val="00580930"/>
    <w:rsid w:val="00587E40"/>
    <w:rsid w:val="00594658"/>
    <w:rsid w:val="005A45A8"/>
    <w:rsid w:val="005A7537"/>
    <w:rsid w:val="005B0CF5"/>
    <w:rsid w:val="005C15F9"/>
    <w:rsid w:val="005C4DEF"/>
    <w:rsid w:val="005D4C88"/>
    <w:rsid w:val="005D546A"/>
    <w:rsid w:val="005D56EC"/>
    <w:rsid w:val="005D76AC"/>
    <w:rsid w:val="005E4EF6"/>
    <w:rsid w:val="005F1DEE"/>
    <w:rsid w:val="005F24CB"/>
    <w:rsid w:val="005F3A69"/>
    <w:rsid w:val="006177F3"/>
    <w:rsid w:val="0061780D"/>
    <w:rsid w:val="00624437"/>
    <w:rsid w:val="0064199F"/>
    <w:rsid w:val="00664F77"/>
    <w:rsid w:val="00665ABD"/>
    <w:rsid w:val="006A2175"/>
    <w:rsid w:val="006A6BF2"/>
    <w:rsid w:val="006B3DF6"/>
    <w:rsid w:val="006B4AC0"/>
    <w:rsid w:val="006C23BC"/>
    <w:rsid w:val="006D3CCA"/>
    <w:rsid w:val="006E79C5"/>
    <w:rsid w:val="006F65A8"/>
    <w:rsid w:val="006F6757"/>
    <w:rsid w:val="00720553"/>
    <w:rsid w:val="00722A47"/>
    <w:rsid w:val="00736D89"/>
    <w:rsid w:val="0075424B"/>
    <w:rsid w:val="0076776C"/>
    <w:rsid w:val="0078101D"/>
    <w:rsid w:val="007A17E3"/>
    <w:rsid w:val="007A3BD4"/>
    <w:rsid w:val="007B2E6D"/>
    <w:rsid w:val="007F0DFD"/>
    <w:rsid w:val="007F43A9"/>
    <w:rsid w:val="007F718D"/>
    <w:rsid w:val="00800BF6"/>
    <w:rsid w:val="00807D7A"/>
    <w:rsid w:val="008132A9"/>
    <w:rsid w:val="008369BA"/>
    <w:rsid w:val="00846165"/>
    <w:rsid w:val="00847BA4"/>
    <w:rsid w:val="00856651"/>
    <w:rsid w:val="00860CA7"/>
    <w:rsid w:val="008636E6"/>
    <w:rsid w:val="00865C10"/>
    <w:rsid w:val="0088432C"/>
    <w:rsid w:val="00884862"/>
    <w:rsid w:val="0089623B"/>
    <w:rsid w:val="008A1D3F"/>
    <w:rsid w:val="008A6E40"/>
    <w:rsid w:val="008B4238"/>
    <w:rsid w:val="008B5923"/>
    <w:rsid w:val="008C38F6"/>
    <w:rsid w:val="008C6E0D"/>
    <w:rsid w:val="008D4099"/>
    <w:rsid w:val="008D59BE"/>
    <w:rsid w:val="008E1283"/>
    <w:rsid w:val="008F49C9"/>
    <w:rsid w:val="008F4D12"/>
    <w:rsid w:val="008F66BF"/>
    <w:rsid w:val="00900978"/>
    <w:rsid w:val="00901B72"/>
    <w:rsid w:val="00907636"/>
    <w:rsid w:val="00921379"/>
    <w:rsid w:val="00921534"/>
    <w:rsid w:val="00930237"/>
    <w:rsid w:val="009511A6"/>
    <w:rsid w:val="00951C76"/>
    <w:rsid w:val="00953832"/>
    <w:rsid w:val="009614C7"/>
    <w:rsid w:val="00961636"/>
    <w:rsid w:val="009665EF"/>
    <w:rsid w:val="00967648"/>
    <w:rsid w:val="00991A0A"/>
    <w:rsid w:val="009920BA"/>
    <w:rsid w:val="00995D84"/>
    <w:rsid w:val="009A5BCB"/>
    <w:rsid w:val="009C05EA"/>
    <w:rsid w:val="009C31C2"/>
    <w:rsid w:val="009C5EBC"/>
    <w:rsid w:val="009C6E8B"/>
    <w:rsid w:val="009D0501"/>
    <w:rsid w:val="009D7B71"/>
    <w:rsid w:val="009E63D5"/>
    <w:rsid w:val="009E7E34"/>
    <w:rsid w:val="009F05F4"/>
    <w:rsid w:val="00A0255C"/>
    <w:rsid w:val="00A0531C"/>
    <w:rsid w:val="00A068D0"/>
    <w:rsid w:val="00A07B5F"/>
    <w:rsid w:val="00A12637"/>
    <w:rsid w:val="00A216EE"/>
    <w:rsid w:val="00A34B27"/>
    <w:rsid w:val="00A36E4D"/>
    <w:rsid w:val="00A448CB"/>
    <w:rsid w:val="00A500B6"/>
    <w:rsid w:val="00A608FD"/>
    <w:rsid w:val="00A67C95"/>
    <w:rsid w:val="00A717B0"/>
    <w:rsid w:val="00A778EA"/>
    <w:rsid w:val="00A830C7"/>
    <w:rsid w:val="00A87281"/>
    <w:rsid w:val="00A925EE"/>
    <w:rsid w:val="00AA238C"/>
    <w:rsid w:val="00AA4F54"/>
    <w:rsid w:val="00AA6645"/>
    <w:rsid w:val="00AB2E2C"/>
    <w:rsid w:val="00AB5228"/>
    <w:rsid w:val="00AC38F2"/>
    <w:rsid w:val="00AD55E8"/>
    <w:rsid w:val="00AF00FA"/>
    <w:rsid w:val="00AF19A0"/>
    <w:rsid w:val="00B0200E"/>
    <w:rsid w:val="00B0789F"/>
    <w:rsid w:val="00B13E8A"/>
    <w:rsid w:val="00B26662"/>
    <w:rsid w:val="00B408E7"/>
    <w:rsid w:val="00B42D51"/>
    <w:rsid w:val="00B43465"/>
    <w:rsid w:val="00B530A8"/>
    <w:rsid w:val="00B737BE"/>
    <w:rsid w:val="00B823A9"/>
    <w:rsid w:val="00B82F9C"/>
    <w:rsid w:val="00B90648"/>
    <w:rsid w:val="00B969DC"/>
    <w:rsid w:val="00BA3FBE"/>
    <w:rsid w:val="00BB097A"/>
    <w:rsid w:val="00BB1E8C"/>
    <w:rsid w:val="00BB2EE8"/>
    <w:rsid w:val="00BB6065"/>
    <w:rsid w:val="00BC1565"/>
    <w:rsid w:val="00BC175B"/>
    <w:rsid w:val="00BC1A71"/>
    <w:rsid w:val="00BD2C5F"/>
    <w:rsid w:val="00BE0419"/>
    <w:rsid w:val="00BE1F42"/>
    <w:rsid w:val="00BE6BA9"/>
    <w:rsid w:val="00BE6D9A"/>
    <w:rsid w:val="00BF73D8"/>
    <w:rsid w:val="00C06800"/>
    <w:rsid w:val="00C124B6"/>
    <w:rsid w:val="00C516C5"/>
    <w:rsid w:val="00C530F3"/>
    <w:rsid w:val="00C555E8"/>
    <w:rsid w:val="00C56687"/>
    <w:rsid w:val="00C566C2"/>
    <w:rsid w:val="00C629EC"/>
    <w:rsid w:val="00C66584"/>
    <w:rsid w:val="00C71916"/>
    <w:rsid w:val="00C73904"/>
    <w:rsid w:val="00C82C3A"/>
    <w:rsid w:val="00C9600A"/>
    <w:rsid w:val="00C97BF7"/>
    <w:rsid w:val="00CA7996"/>
    <w:rsid w:val="00CB4618"/>
    <w:rsid w:val="00CD6F78"/>
    <w:rsid w:val="00CE16B4"/>
    <w:rsid w:val="00CE37AC"/>
    <w:rsid w:val="00CE7204"/>
    <w:rsid w:val="00CF366B"/>
    <w:rsid w:val="00CF5A90"/>
    <w:rsid w:val="00D16BC3"/>
    <w:rsid w:val="00D21F83"/>
    <w:rsid w:val="00D23D68"/>
    <w:rsid w:val="00D41530"/>
    <w:rsid w:val="00D97BE5"/>
    <w:rsid w:val="00DA53EE"/>
    <w:rsid w:val="00DC42FC"/>
    <w:rsid w:val="00DD68EC"/>
    <w:rsid w:val="00DD6F89"/>
    <w:rsid w:val="00E0438F"/>
    <w:rsid w:val="00E15342"/>
    <w:rsid w:val="00E15AD3"/>
    <w:rsid w:val="00E230B0"/>
    <w:rsid w:val="00E25E5D"/>
    <w:rsid w:val="00E2769E"/>
    <w:rsid w:val="00E30432"/>
    <w:rsid w:val="00E45309"/>
    <w:rsid w:val="00E475CE"/>
    <w:rsid w:val="00E61DEC"/>
    <w:rsid w:val="00E669CB"/>
    <w:rsid w:val="00E70490"/>
    <w:rsid w:val="00E70A30"/>
    <w:rsid w:val="00E82C18"/>
    <w:rsid w:val="00E90A16"/>
    <w:rsid w:val="00E925B0"/>
    <w:rsid w:val="00EA52B0"/>
    <w:rsid w:val="00EB18E8"/>
    <w:rsid w:val="00EE3CDB"/>
    <w:rsid w:val="00EE4A5D"/>
    <w:rsid w:val="00EF4764"/>
    <w:rsid w:val="00EF7D95"/>
    <w:rsid w:val="00F026D6"/>
    <w:rsid w:val="00F05583"/>
    <w:rsid w:val="00F071C2"/>
    <w:rsid w:val="00F10213"/>
    <w:rsid w:val="00F106D0"/>
    <w:rsid w:val="00F25EAB"/>
    <w:rsid w:val="00F34A19"/>
    <w:rsid w:val="00F47DE8"/>
    <w:rsid w:val="00F51FC0"/>
    <w:rsid w:val="00F6228B"/>
    <w:rsid w:val="00F839EC"/>
    <w:rsid w:val="00F86165"/>
    <w:rsid w:val="00F95278"/>
    <w:rsid w:val="00FB3900"/>
    <w:rsid w:val="00FC0599"/>
    <w:rsid w:val="00FD055F"/>
    <w:rsid w:val="00FE4667"/>
    <w:rsid w:val="00FE5C30"/>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5:docId w15:val="{2FA2D3F1-E3A9-48A5-92C3-F1BF168B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basedOn w:val="DefaultParagraphFont"/>
    <w:link w:val="Footer"/>
    <w:uiPriority w:val="99"/>
    <w:rsid w:val="00B13E8A"/>
    <w:rPr>
      <w:sz w:val="24"/>
      <w:szCs w:val="24"/>
    </w:rPr>
  </w:style>
  <w:style w:type="paragraph" w:styleId="BalloonText">
    <w:name w:val="Balloon Text"/>
    <w:basedOn w:val="Normal"/>
    <w:link w:val="BalloonTextChar"/>
    <w:rsid w:val="00BF73D8"/>
    <w:rPr>
      <w:rFonts w:ascii="Tahoma" w:hAnsi="Tahoma" w:cs="Tahoma"/>
      <w:sz w:val="16"/>
      <w:szCs w:val="16"/>
    </w:rPr>
  </w:style>
  <w:style w:type="character" w:customStyle="1" w:styleId="BalloonTextChar">
    <w:name w:val="Balloon Text Char"/>
    <w:basedOn w:val="DefaultParagraphFont"/>
    <w:link w:val="BalloonText"/>
    <w:rsid w:val="00BF73D8"/>
    <w:rPr>
      <w:rFonts w:ascii="Tahoma" w:hAnsi="Tahoma" w:cs="Tahoma"/>
      <w:sz w:val="16"/>
      <w:szCs w:val="16"/>
    </w:rPr>
  </w:style>
  <w:style w:type="character" w:styleId="PlaceholderText">
    <w:name w:val="Placeholder Text"/>
    <w:basedOn w:val="DefaultParagraphFont"/>
    <w:uiPriority w:val="99"/>
    <w:semiHidden/>
    <w:rsid w:val="00C97BF7"/>
    <w:rPr>
      <w:color w:val="808080"/>
    </w:rPr>
  </w:style>
  <w:style w:type="paragraph" w:styleId="ListParagraph">
    <w:name w:val="List Paragraph"/>
    <w:basedOn w:val="Normal"/>
    <w:uiPriority w:val="34"/>
    <w:qFormat/>
    <w:rsid w:val="00F47DE8"/>
    <w:pPr>
      <w:ind w:left="720"/>
    </w:pPr>
  </w:style>
  <w:style w:type="character" w:styleId="Hyperlink">
    <w:name w:val="Hyperlink"/>
    <w:basedOn w:val="DefaultParagraphFont"/>
    <w:uiPriority w:val="99"/>
    <w:rsid w:val="001C6448"/>
    <w:rPr>
      <w:color w:val="0000FF" w:themeColor="hyperlink"/>
      <w:u w:val="single"/>
    </w:rPr>
  </w:style>
  <w:style w:type="paragraph" w:styleId="NormalWeb">
    <w:name w:val="Normal (Web)"/>
    <w:basedOn w:val="Normal"/>
    <w:uiPriority w:val="99"/>
    <w:unhideWhenUsed/>
    <w:rsid w:val="005B0CF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5401">
      <w:bodyDiv w:val="1"/>
      <w:marLeft w:val="0"/>
      <w:marRight w:val="0"/>
      <w:marTop w:val="0"/>
      <w:marBottom w:val="0"/>
      <w:divBdr>
        <w:top w:val="none" w:sz="0" w:space="0" w:color="auto"/>
        <w:left w:val="none" w:sz="0" w:space="0" w:color="auto"/>
        <w:bottom w:val="none" w:sz="0" w:space="0" w:color="auto"/>
        <w:right w:val="none" w:sz="0" w:space="0" w:color="auto"/>
      </w:divBdr>
    </w:div>
    <w:div w:id="970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hscrc.maryland.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7855493F0B42669C500A9BD087DF47"/>
        <w:category>
          <w:name w:val="General"/>
          <w:gallery w:val="placeholder"/>
        </w:category>
        <w:types>
          <w:type w:val="bbPlcHdr"/>
        </w:types>
        <w:behaviors>
          <w:behavior w:val="content"/>
        </w:behaviors>
        <w:guid w:val="{02344DD4-704D-4760-ACDD-8489EF99507D}"/>
      </w:docPartPr>
      <w:docPartBody>
        <w:p w:rsidR="00DE722E" w:rsidRDefault="00DE722E">
          <w:pPr>
            <w:pStyle w:val="077855493F0B42669C500A9BD087DF47"/>
          </w:pPr>
          <w:r w:rsidRPr="00BD48A8">
            <w:rPr>
              <w:rStyle w:val="PlaceholderText"/>
            </w:rPr>
            <w:t>Click here to enter text.</w:t>
          </w:r>
        </w:p>
      </w:docPartBody>
    </w:docPart>
    <w:docPart>
      <w:docPartPr>
        <w:name w:val="5D02AA53722B483C8A8D9BD6D7CCF75F"/>
        <w:category>
          <w:name w:val="General"/>
          <w:gallery w:val="placeholder"/>
        </w:category>
        <w:types>
          <w:type w:val="bbPlcHdr"/>
        </w:types>
        <w:behaviors>
          <w:behavior w:val="content"/>
        </w:behaviors>
        <w:guid w:val="{56E827C5-6CE4-4BB0-84C3-FC3B0DFB315B}"/>
      </w:docPartPr>
      <w:docPartBody>
        <w:p w:rsidR="00DE722E" w:rsidRDefault="00DE722E">
          <w:pPr>
            <w:pStyle w:val="5D02AA53722B483C8A8D9BD6D7CCF75F"/>
          </w:pPr>
          <w:r w:rsidRPr="00BD48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E"/>
    <w:rsid w:val="00DE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7855493F0B42669C500A9BD087DF47">
    <w:name w:val="077855493F0B42669C500A9BD087DF47"/>
  </w:style>
  <w:style w:type="paragraph" w:customStyle="1" w:styleId="5D02AA53722B483C8A8D9BD6D7CCF75F">
    <w:name w:val="5D02AA53722B483C8A8D9BD6D7CCF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3058E-AAB6-47F1-B250-E983CA408C88}"/>
</file>

<file path=customXml/itemProps2.xml><?xml version="1.0" encoding="utf-8"?>
<ds:datastoreItem xmlns:ds="http://schemas.openxmlformats.org/officeDocument/2006/customXml" ds:itemID="{C5066E0A-A302-4F9C-94D9-A597F3014FEA}"/>
</file>

<file path=customXml/itemProps3.xml><?xml version="1.0" encoding="utf-8"?>
<ds:datastoreItem xmlns:ds="http://schemas.openxmlformats.org/officeDocument/2006/customXml" ds:itemID="{E8FCDD0A-DF7D-4A47-A017-7E34CD7E1FA5}"/>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hscrc</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Reeves</dc:creator>
  <cp:keywords/>
  <dc:description/>
  <cp:lastModifiedBy>Oscar Ibarra</cp:lastModifiedBy>
  <cp:revision>2</cp:revision>
  <cp:lastPrinted>2016-09-23T18:30:00Z</cp:lastPrinted>
  <dcterms:created xsi:type="dcterms:W3CDTF">2016-10-11T21:10:00Z</dcterms:created>
  <dcterms:modified xsi:type="dcterms:W3CDTF">2016-10-11T21:10:00Z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